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753100" cy="2266950"/>
            <wp:effectExtent b="0" l="0" r="0" t="0"/>
            <wp:docPr id="85237788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26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TURĖK DABAR, ATSISKAITYK MAŽESNĖMIS DALIMIS SU INBANK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KAIP TAI VEIKIA?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Inbank Moki3</w:t>
      </w:r>
      <w:r w:rsidDel="00000000" w:rsidR="00000000" w:rsidRPr="00000000">
        <w:rPr>
          <w:rtl w:val="0"/>
        </w:rPr>
        <w:t xml:space="preserve"> – tai nuolaida, kai sudarius 24-72 mėn. prekių finansavimo sutartį prekėms ar paslaugoms, Jums suteikiama galimybė pasirinkti – atsiskaityti už savo pirkinius per 3 mėnesius lygiomis dalimis be pabrangimo arba mokėti pagal 24-72 mėn. grafiką mažesnėmis įmokomis su palūkanomis ir kitais mokesčiais.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5753100" cy="1085850"/>
            <wp:effectExtent b="0" l="0" r="0" t="0"/>
            <wp:docPr id="8523778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08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Pavyzdžiui, skolinantis 169 Eur, kai sutartis sudaroma 24 mėn. terminui su „Moki 3“ per 3 mėnesius atsiskaitytumėte po 56,33 Eur. Tačiau jei pavėluojate grąžinti visą pasiskolintą sumą iki „Moki 3“ nuolaidos galiojimo laikotarpio pabaigos, Jūs netenkate teisės į „Moki 3“ nuolaidą ir Jums toliau galioja 24 mėn. įmokų mokėjimų grafikas, kurio metinė palūkanų norma – </w:t>
      </w:r>
      <w:r w:rsidDel="00000000" w:rsidR="00000000" w:rsidRPr="00000000">
        <w:rPr>
          <w:rtl w:val="0"/>
        </w:rPr>
        <w:t xml:space="preserve">17,9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%, sutarties sudarymo mokestis – 0 %, mėnesinis sutarties administravimo mokestis – 0,</w:t>
      </w:r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%, BVKKMN – </w:t>
      </w:r>
      <w:r w:rsidDel="00000000" w:rsidR="00000000" w:rsidRPr="00000000">
        <w:rPr>
          <w:rtl w:val="0"/>
        </w:rPr>
        <w:t xml:space="preserve">22,7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%, bendra mokėtina suma – </w:t>
      </w:r>
      <w:r w:rsidDel="00000000" w:rsidR="00000000" w:rsidRPr="00000000">
        <w:rPr>
          <w:rtl w:val="0"/>
        </w:rPr>
        <w:t xml:space="preserve">207,88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€, mėnesio įmoka –  </w:t>
      </w:r>
      <w:r w:rsidDel="00000000" w:rsidR="00000000" w:rsidRPr="00000000">
        <w:rPr>
          <w:rtl w:val="0"/>
        </w:rPr>
        <w:t xml:space="preserve">8,67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€.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Nepriklausomai nuo to, kurį variantą pasirinksite, Jūsų mokama mėnesinė įmoka negali būti mažesnė nei ta, kuri nurodyta 24 mėnesių grafike.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L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2129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2129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2129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2129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2129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2129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2129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21292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2129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2129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2129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2129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212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2129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2129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2129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2129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21292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2129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1292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21292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613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13621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8F27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 w:val="en-L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886Z4YThGvXLK6bTJfQ7CXZUw==">CgMxLjA4AHIhMUdfaXIxd1pVY2FmZ0tLVWl6R0lEYlBrLU5XU0lEOFpE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2024-09-03T10:06:00Z</dcterms:created>
  <dc:creator>Laurynas Slapšys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4d4a005938f3e9cacf1b3239bdeada37b7eb3d878cfa50636a65ae5abe89c6b1</vt:lpwstr>
  </property>
</Properties>
</file>