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14300" distT="114300" distL="114300" distR="114300">
            <wp:extent cx="5759775" cy="1625600"/>
            <wp:effectExtent b="0" l="0" r="0" t="0"/>
            <wp:docPr id="152351226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59775" cy="1625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color w:val="ff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В сотрудничестве с Inbank мы предлагаем способ оплаты Подели на части!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Приобретай всё необходимое сразу и раздели сумму покупки на 3 равных платежа – без процентов, платы за договор или первого взноса.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color w:val="21083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1083a"/>
          <w:sz w:val="24"/>
          <w:szCs w:val="24"/>
          <w:u w:val="none"/>
          <w:shd w:fill="auto" w:val="clear"/>
          <w:vertAlign w:val="baseline"/>
          <w:rtl w:val="0"/>
        </w:rPr>
        <w:t xml:space="preserve">Подать заявку легко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</w:rPr>
        <w:drawing>
          <wp:inline distB="0" distT="0" distL="0" distR="0">
            <wp:extent cx="5760085" cy="2543810"/>
            <wp:effectExtent b="0" l="0" r="0" t="0"/>
            <wp:docPr descr="A close-up of a black background&#10;&#10;Description automatically generated" id="1523512264" name="image1.png"/>
            <a:graphic>
              <a:graphicData uri="http://schemas.openxmlformats.org/drawingml/2006/picture">
                <pic:pic>
                  <pic:nvPicPr>
                    <pic:cNvPr descr="A close-up of a black background&#10;&#10;Description automatically generated"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254381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Условия: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Для покупок на сумму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083a"/>
          <w:sz w:val="24"/>
          <w:szCs w:val="24"/>
          <w:u w:val="none"/>
          <w:shd w:fill="auto" w:val="clear"/>
          <w:vertAlign w:val="baseline"/>
          <w:rtl w:val="0"/>
        </w:rPr>
        <w:t xml:space="preserve">75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€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083a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 2500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083a"/>
          <w:sz w:val="24"/>
          <w:szCs w:val="24"/>
          <w:u w:val="none"/>
          <w:shd w:fill="auto" w:val="clear"/>
          <w:vertAlign w:val="baseline"/>
          <w:rtl w:val="0"/>
        </w:rPr>
        <w:t xml:space="preserve">€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Плати 3 равными частями.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Дополнительные сборы в размере 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083a"/>
          <w:sz w:val="24"/>
          <w:szCs w:val="24"/>
          <w:u w:val="none"/>
          <w:shd w:fill="auto" w:val="clear"/>
          <w:vertAlign w:val="baseline"/>
          <w:rtl w:val="0"/>
        </w:rPr>
        <w:t xml:space="preserve">€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1083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Первый платеж через месяц.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Узнай больше об этом способе оплаты </w:t>
      </w:r>
      <w:hyperlink r:id="rId9">
        <w:r w:rsidDel="00000000" w:rsidR="00000000" w:rsidRPr="00000000">
          <w:rPr>
            <w:rFonts w:ascii="Arial" w:cs="Arial" w:eastAsia="Arial" w:hAnsi="Arial"/>
            <w:color w:val="aa93ff"/>
            <w:u w:val="single"/>
            <w:rtl w:val="0"/>
          </w:rPr>
          <w:t xml:space="preserve">здесь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Если у тебя возникли вопросы о рассрочке, свяжись с Inbank Latvia: +371 66 939 000, </w:t>
      </w:r>
      <w:hyperlink r:id="rId10">
        <w:r w:rsidDel="00000000" w:rsidR="00000000" w:rsidRPr="00000000">
          <w:rPr>
            <w:rFonts w:ascii="Arial" w:cs="Arial" w:eastAsia="Arial" w:hAnsi="Arial"/>
            <w:color w:val="aa93ff"/>
            <w:u w:val="single"/>
            <w:rtl w:val="0"/>
          </w:rPr>
          <w:t xml:space="preserve">info@inbank.lv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, </w:t>
      </w:r>
      <w:hyperlink r:id="rId11">
        <w:r w:rsidDel="00000000" w:rsidR="00000000" w:rsidRPr="00000000">
          <w:rPr>
            <w:rFonts w:ascii="Arial" w:cs="Arial" w:eastAsia="Arial" w:hAnsi="Arial"/>
            <w:color w:val="aa93ff"/>
            <w:u w:val="single"/>
            <w:rtl w:val="0"/>
          </w:rPr>
          <w:t xml:space="preserve">inbank.lv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 </w:t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</w:p>
    <w:sectPr>
      <w:pgSz w:h="16838" w:w="11906" w:orient="portrait"/>
      <w:pgMar w:bottom="851" w:top="851" w:left="1701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•"/>
      <w:lvlJc w:val="left"/>
      <w:pPr>
        <w:ind w:left="720" w:hanging="360"/>
      </w:pPr>
      <w:rPr>
        <w:rFonts w:ascii="Arial" w:cs="Arial" w:eastAsia="Arial" w:hAnsi="Arial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-LV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E96054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BB2F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BB2F5B"/>
    <w:rPr>
      <w:color w:val="605e5c"/>
      <w:shd w:color="auto" w:fill="e1dfdd" w:val="clear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BB2F5B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inbank.lv/ru/plati-pozzhe" TargetMode="External"/><Relationship Id="rId10" Type="http://schemas.openxmlformats.org/officeDocument/2006/relationships/hyperlink" Target="mailto:info@inbank.lv" TargetMode="External"/><Relationship Id="rId9" Type="http://schemas.openxmlformats.org/officeDocument/2006/relationships/hyperlink" Target="https://inbank.lv/documents/inbank/lv/ru/pdf/pay_in_parts_terms_and_conditions.pdf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WapWBMuF+N1RRxEzNWNLzzyCFg==">CgMxLjA4AHIhMUIwS0VaZUY1VjB5ZUFmckthVkZVTms3RERBQU1LUmpl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2023-07-25T07:03:00Z</dcterms:created>
  <dc:creator>Sindija Grina</dc:creator>
</cp:coreProperties>
</file>